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jc w:val="center"/>
        <w:rPr>
          <w:rFonts w:hint="eastAsia" w:ascii="楷体_GB2312" w:hAnsi="宋体" w:eastAsia="楷体_GB2312" w:cs="宋体"/>
          <w:b/>
          <w:bCs/>
          <w:color w:val="auto"/>
          <w:kern w:val="0"/>
          <w:sz w:val="36"/>
          <w:szCs w:val="24"/>
        </w:rPr>
      </w:pPr>
      <w:r>
        <w:rPr>
          <w:rFonts w:hint="eastAsia" w:ascii="楷体_GB2312" w:hAnsi="宋体" w:eastAsia="楷体_GB2312" w:cs="宋体"/>
          <w:b/>
          <w:bCs/>
          <w:color w:val="auto"/>
          <w:kern w:val="0"/>
          <w:sz w:val="36"/>
          <w:szCs w:val="24"/>
        </w:rPr>
        <w:t>哈尔滨商业大学通识选修课程管理办法</w:t>
      </w:r>
    </w:p>
    <w:p>
      <w:pPr>
        <w:widowControl/>
        <w:shd w:val="clear" w:color="auto" w:fill="FFFFFF"/>
        <w:spacing w:line="360" w:lineRule="auto"/>
        <w:jc w:val="center"/>
        <w:rPr>
          <w:rFonts w:hint="eastAsia" w:ascii="楷体_GB2312" w:hAnsi="宋体" w:eastAsia="楷体_GB2312" w:cs="宋体"/>
          <w:b/>
          <w:bCs/>
          <w:color w:val="auto"/>
          <w:kern w:val="0"/>
          <w:sz w:val="36"/>
          <w:szCs w:val="24"/>
        </w:rPr>
      </w:pPr>
      <w:r>
        <w:rPr>
          <w:rFonts w:hint="eastAsia" w:ascii="楷体_GB2312" w:hAnsi="宋体" w:eastAsia="楷体_GB2312" w:cs="宋体"/>
          <w:b/>
          <w:bCs/>
          <w:color w:val="auto"/>
          <w:kern w:val="0"/>
          <w:sz w:val="36"/>
          <w:szCs w:val="24"/>
          <w:lang w:eastAsia="zh-CN"/>
        </w:rPr>
        <w:t>（</w:t>
      </w:r>
      <w:r>
        <w:rPr>
          <w:rFonts w:hint="eastAsia" w:ascii="楷体_GB2312" w:hAnsi="宋体" w:eastAsia="楷体_GB2312" w:cs="宋体"/>
          <w:b/>
          <w:bCs/>
          <w:color w:val="auto"/>
          <w:kern w:val="0"/>
          <w:sz w:val="36"/>
          <w:szCs w:val="24"/>
          <w:lang w:val="en-US" w:eastAsia="zh-CN"/>
        </w:rPr>
        <w:t>2019版</w:t>
      </w:r>
      <w:r>
        <w:rPr>
          <w:rFonts w:hint="eastAsia" w:ascii="楷体_GB2312" w:hAnsi="宋体" w:eastAsia="楷体_GB2312" w:cs="宋体"/>
          <w:b/>
          <w:bCs/>
          <w:color w:val="auto"/>
          <w:kern w:val="0"/>
          <w:sz w:val="36"/>
          <w:szCs w:val="24"/>
          <w:lang w:eastAsia="zh-CN"/>
        </w:rPr>
        <w:t>）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cs="Arial"/>
          <w:color w:val="auto"/>
          <w:kern w:val="0"/>
          <w:sz w:val="24"/>
          <w:szCs w:val="24"/>
        </w:rPr>
      </w:pPr>
      <w:r>
        <w:rPr>
          <w:rFonts w:hint="eastAsia" w:ascii="宋体" w:hAnsi="宋体" w:cs="Arial"/>
          <w:color w:val="auto"/>
          <w:kern w:val="0"/>
          <w:sz w:val="24"/>
          <w:szCs w:val="24"/>
        </w:rPr>
        <w:t>为加强通识选修课的教学管理，提高选修课的教学质量</w:t>
      </w:r>
      <w:r>
        <w:rPr>
          <w:rFonts w:hint="eastAsia" w:ascii="宋体" w:hAnsi="宋体" w:cs="Arial"/>
          <w:color w:val="auto"/>
          <w:kern w:val="0"/>
          <w:sz w:val="24"/>
          <w:szCs w:val="24"/>
          <w:lang w:eastAsia="zh-CN"/>
        </w:rPr>
        <w:t>效果</w:t>
      </w:r>
      <w:r>
        <w:rPr>
          <w:rFonts w:hint="eastAsia" w:ascii="宋体" w:hAnsi="宋体" w:cs="Arial"/>
          <w:color w:val="auto"/>
          <w:kern w:val="0"/>
          <w:sz w:val="24"/>
          <w:szCs w:val="24"/>
        </w:rPr>
        <w:t>，培养适应经济社会发展需要，具有一定国际视野、</w:t>
      </w:r>
      <w:r>
        <w:rPr>
          <w:rFonts w:hint="eastAsia" w:ascii="宋体" w:hAnsi="宋体" w:cs="Arial"/>
          <w:color w:val="auto"/>
          <w:kern w:val="0"/>
          <w:sz w:val="24"/>
          <w:szCs w:val="24"/>
          <w:lang w:eastAsia="zh-CN"/>
        </w:rPr>
        <w:t>知识广博，</w:t>
      </w:r>
      <w:r>
        <w:rPr>
          <w:rFonts w:hint="eastAsia" w:ascii="宋体" w:hAnsi="宋体" w:cs="Arial"/>
          <w:color w:val="auto"/>
          <w:kern w:val="0"/>
          <w:sz w:val="24"/>
          <w:szCs w:val="24"/>
        </w:rPr>
        <w:t>基础扎实、具有较强创新精神和创业能力的应用型、复合型高级专门人才</w:t>
      </w:r>
      <w:r>
        <w:rPr>
          <w:rFonts w:hint="eastAsia" w:ascii="宋体" w:hAnsi="宋体" w:cs="Arial"/>
          <w:color w:val="auto"/>
          <w:kern w:val="0"/>
          <w:sz w:val="24"/>
          <w:szCs w:val="24"/>
          <w:lang w:eastAsia="zh-CN"/>
        </w:rPr>
        <w:t>，突出</w:t>
      </w:r>
      <w:r>
        <w:rPr>
          <w:rFonts w:hint="eastAsia" w:ascii="宋体" w:hAnsi="宋体" w:cs="Arial"/>
          <w:color w:val="auto"/>
          <w:kern w:val="0"/>
          <w:sz w:val="24"/>
          <w:szCs w:val="24"/>
        </w:rPr>
        <w:t>我校“经管法融合，商工结合”的特色，结合我校通识选修课开设和实施的具体情况，制定本办法。</w:t>
      </w:r>
    </w:p>
    <w:p>
      <w:pPr>
        <w:widowControl/>
        <w:shd w:val="clear" w:color="auto" w:fill="FFFFFF"/>
        <w:spacing w:before="156" w:beforeLines="50" w:after="156" w:afterLines="50" w:line="360" w:lineRule="auto"/>
        <w:ind w:firstLine="354" w:firstLineChars="147"/>
        <w:outlineLvl w:val="1"/>
        <w:rPr>
          <w:rFonts w:ascii="宋体" w:hAnsi="宋体" w:cs="Arial"/>
          <w:b/>
          <w:color w:val="auto"/>
          <w:kern w:val="0"/>
          <w:sz w:val="24"/>
          <w:szCs w:val="24"/>
        </w:rPr>
      </w:pPr>
      <w:r>
        <w:rPr>
          <w:rFonts w:hint="eastAsia" w:ascii="宋体" w:hAnsi="宋体" w:cs="Arial"/>
          <w:b/>
          <w:color w:val="auto"/>
          <w:kern w:val="0"/>
          <w:sz w:val="24"/>
          <w:szCs w:val="24"/>
        </w:rPr>
        <w:t>一、课程设置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480" w:firstLineChars="200"/>
        <w:jc w:val="left"/>
        <w:rPr>
          <w:rFonts w:hint="default" w:ascii="宋体" w:hAnsi="宋体" w:cs="Arial" w:eastAsiaTheme="minorEastAsia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Arial"/>
          <w:color w:val="auto"/>
          <w:kern w:val="0"/>
          <w:sz w:val="24"/>
          <w:szCs w:val="24"/>
          <w:lang w:val="en-US" w:eastAsia="zh-CN"/>
        </w:rPr>
        <w:t>通识选修课是指由学校管理和组织开设的，针对全校各专业学生学习需要的通识教育选修课程，其目的在于培养大学生的世界观、价值观和人生观，独立思考能力和批判精神，提高大学生的文化涵养、审美情趣、人文修养和科学素质而设置的课程。</w:t>
      </w:r>
      <w:r>
        <w:rPr>
          <w:rFonts w:hint="eastAsia" w:ascii="宋体" w:hAnsi="宋体" w:cs="Arial"/>
          <w:color w:val="auto"/>
          <w:kern w:val="0"/>
          <w:sz w:val="24"/>
          <w:szCs w:val="24"/>
        </w:rPr>
        <w:t>通识选修课是在专业教育之外实施素质教育、拓宽专业口径、体现学科交叉、科学与人文融合所需要的各类课程</w:t>
      </w:r>
      <w:r>
        <w:rPr>
          <w:rFonts w:hint="eastAsia" w:ascii="宋体" w:hAnsi="宋体" w:cs="Arial"/>
          <w:color w:val="auto"/>
          <w:kern w:val="0"/>
          <w:sz w:val="24"/>
          <w:szCs w:val="24"/>
          <w:lang w:eastAsia="zh-CN"/>
        </w:rPr>
        <w:t>，包括通识实体选修课和通识网络选修课。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cs="Arial"/>
          <w:color w:val="auto"/>
          <w:kern w:val="0"/>
          <w:sz w:val="24"/>
          <w:szCs w:val="24"/>
        </w:rPr>
      </w:pPr>
      <w:r>
        <w:rPr>
          <w:rFonts w:hint="eastAsia" w:ascii="宋体" w:hAnsi="宋体" w:cs="Arial"/>
          <w:color w:val="auto"/>
          <w:kern w:val="0"/>
          <w:sz w:val="24"/>
          <w:szCs w:val="24"/>
        </w:rPr>
        <w:t>1．通识选修课的开设，要有利于学生完善知识、能力和素质；有利于实现学生的学科交叉和知识融合，拓宽知识面；有利于学生个性发展；有利于培养学生人文精神和科学素养；有利于培养学生的创新意识和创业能力。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cs="Arial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Arial"/>
          <w:color w:val="auto"/>
          <w:kern w:val="0"/>
          <w:sz w:val="24"/>
          <w:szCs w:val="24"/>
        </w:rPr>
        <w:t>2．</w:t>
      </w:r>
      <w:r>
        <w:rPr>
          <w:rFonts w:hint="eastAsia" w:ascii="宋体" w:hAnsi="宋体" w:cs="Arial"/>
          <w:color w:val="auto"/>
          <w:kern w:val="0"/>
          <w:sz w:val="24"/>
          <w:szCs w:val="24"/>
          <w:lang w:val="en-US" w:eastAsia="zh-CN"/>
        </w:rPr>
        <w:t>学校</w:t>
      </w:r>
      <w:r>
        <w:rPr>
          <w:rFonts w:hint="eastAsia" w:ascii="宋体" w:hAnsi="宋体" w:cs="Arial"/>
          <w:color w:val="auto"/>
          <w:kern w:val="0"/>
          <w:sz w:val="24"/>
          <w:szCs w:val="24"/>
        </w:rPr>
        <w:t>通识选修课</w:t>
      </w:r>
      <w:r>
        <w:rPr>
          <w:rFonts w:hint="eastAsia" w:ascii="宋体" w:hAnsi="宋体" w:cs="Arial"/>
          <w:color w:val="auto"/>
          <w:kern w:val="0"/>
          <w:sz w:val="24"/>
          <w:szCs w:val="24"/>
          <w:lang w:val="en-US" w:eastAsia="zh-CN"/>
        </w:rPr>
        <w:t>体系</w:t>
      </w:r>
      <w:r>
        <w:rPr>
          <w:rFonts w:hint="eastAsia" w:ascii="宋体" w:hAnsi="宋体" w:cs="Arial"/>
          <w:color w:val="auto"/>
          <w:kern w:val="0"/>
          <w:sz w:val="24"/>
          <w:szCs w:val="24"/>
        </w:rPr>
        <w:t>设有</w:t>
      </w:r>
      <w:r>
        <w:rPr>
          <w:rFonts w:hint="eastAsia" w:ascii="宋体" w:hAnsi="宋体" w:cs="Arial"/>
          <w:color w:val="auto"/>
          <w:kern w:val="0"/>
          <w:sz w:val="24"/>
          <w:szCs w:val="24"/>
          <w:lang w:val="en-US" w:eastAsia="zh-CN"/>
        </w:rPr>
        <w:t>人文社会科学、自然科学、工具与方法、外语拓展与应用、艺术与美育、商业文化与伦理、健康与安全教育、创新创业教育等八个模块。总学分为10学分，其中创新创业模块至少修读2学分，其他每个模块至少修读1学分。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cs="Arial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Arial"/>
          <w:color w:val="auto"/>
          <w:kern w:val="0"/>
          <w:sz w:val="24"/>
          <w:szCs w:val="24"/>
          <w:lang w:val="en-US" w:eastAsia="zh-CN"/>
        </w:rPr>
        <w:t>3.学校积极引入国内外优质网络在线课程充实通识课程体系，作为学校通识实体课程的有益补充。引进通识网络选修课坚持三个原则：以学生为本、为学生服务、满足学生所需；体现开放性、动态性；着眼培养学生的基础性、发展性和创造性。鼓励我校教师自主开发通识网络选修课程。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cs="Arial" w:eastAsiaTheme="minorEastAsia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Arial"/>
          <w:color w:val="auto"/>
          <w:kern w:val="0"/>
          <w:sz w:val="24"/>
          <w:szCs w:val="24"/>
          <w:lang w:val="en-US" w:eastAsia="zh-CN"/>
        </w:rPr>
        <w:t>4.课程设置和授课教师稳定，并能够保证持续开设。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cs="Arial" w:eastAsiaTheme="minorEastAsia"/>
          <w:color w:val="auto"/>
          <w:kern w:val="0"/>
          <w:sz w:val="24"/>
          <w:szCs w:val="24"/>
          <w:lang w:eastAsia="zh-CN"/>
        </w:rPr>
      </w:pPr>
      <w:r>
        <w:rPr>
          <w:rFonts w:hint="eastAsia" w:ascii="宋体" w:hAnsi="宋体" w:cs="Arial"/>
          <w:color w:val="auto"/>
          <w:kern w:val="0"/>
          <w:sz w:val="24"/>
          <w:szCs w:val="24"/>
          <w:lang w:val="en-US" w:eastAsia="zh-CN"/>
        </w:rPr>
        <w:t>5</w:t>
      </w:r>
      <w:r>
        <w:rPr>
          <w:rFonts w:hint="eastAsia" w:ascii="宋体" w:hAnsi="宋体" w:cs="Arial"/>
          <w:color w:val="auto"/>
          <w:kern w:val="0"/>
          <w:sz w:val="24"/>
          <w:szCs w:val="24"/>
        </w:rPr>
        <w:t>．通识选修课必须面向全校本科学生开放，根据选课规则由学生自由选修</w:t>
      </w:r>
      <w:r>
        <w:rPr>
          <w:rFonts w:hint="eastAsia" w:ascii="宋体" w:hAnsi="宋体" w:cs="Arial"/>
          <w:color w:val="auto"/>
          <w:kern w:val="0"/>
          <w:sz w:val="24"/>
          <w:szCs w:val="24"/>
          <w:lang w:eastAsia="zh-CN"/>
        </w:rPr>
        <w:t>。</w:t>
      </w:r>
    </w:p>
    <w:p>
      <w:pPr>
        <w:widowControl/>
        <w:numPr>
          <w:ilvl w:val="0"/>
          <w:numId w:val="0"/>
        </w:numPr>
        <w:shd w:val="clear" w:color="auto" w:fill="FFFFFF"/>
        <w:spacing w:before="156" w:beforeLines="50" w:after="156" w:afterLines="50" w:line="360" w:lineRule="auto"/>
        <w:outlineLvl w:val="1"/>
        <w:rPr>
          <w:rFonts w:hint="eastAsia" w:ascii="宋体" w:hAnsi="宋体" w:cs="Arial"/>
          <w:b/>
          <w:color w:val="auto"/>
          <w:kern w:val="0"/>
          <w:sz w:val="24"/>
          <w:szCs w:val="24"/>
        </w:rPr>
      </w:pPr>
    </w:p>
    <w:p>
      <w:pPr>
        <w:widowControl/>
        <w:numPr>
          <w:ilvl w:val="0"/>
          <w:numId w:val="1"/>
        </w:numPr>
        <w:shd w:val="clear" w:color="auto" w:fill="FFFFFF"/>
        <w:spacing w:before="156" w:beforeLines="50" w:after="156" w:afterLines="50" w:line="360" w:lineRule="auto"/>
        <w:ind w:firstLine="241" w:firstLineChars="100"/>
        <w:outlineLvl w:val="1"/>
        <w:rPr>
          <w:rFonts w:hint="eastAsia" w:ascii="宋体" w:hAnsi="宋体" w:cs="Arial"/>
          <w:b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Arial"/>
          <w:b/>
          <w:color w:val="auto"/>
          <w:kern w:val="0"/>
          <w:sz w:val="24"/>
          <w:szCs w:val="24"/>
          <w:lang w:val="en-US" w:eastAsia="zh-CN"/>
        </w:rPr>
        <w:t>开课条件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cs="Arial"/>
          <w:color w:val="auto"/>
          <w:kern w:val="0"/>
          <w:sz w:val="24"/>
          <w:szCs w:val="24"/>
        </w:rPr>
      </w:pPr>
      <w:r>
        <w:rPr>
          <w:rFonts w:hint="eastAsia" w:ascii="宋体" w:hAnsi="宋体" w:cs="Arial"/>
          <w:color w:val="auto"/>
          <w:kern w:val="0"/>
          <w:sz w:val="24"/>
          <w:szCs w:val="24"/>
          <w:lang w:val="en-US" w:eastAsia="zh-CN"/>
        </w:rPr>
        <w:t>1.具有较系统的教学内容，对提升学生科学文化素质、培养学生科学思维能力具有显著作用；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cs="Arial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Arial"/>
          <w:color w:val="auto"/>
          <w:kern w:val="0"/>
          <w:sz w:val="24"/>
          <w:szCs w:val="24"/>
          <w:lang w:val="en-US" w:eastAsia="zh-CN"/>
        </w:rPr>
        <w:t>2.</w:t>
      </w:r>
      <w:r>
        <w:rPr>
          <w:rFonts w:hint="eastAsia" w:ascii="宋体" w:hAnsi="宋体" w:cs="Arial"/>
          <w:color w:val="auto"/>
          <w:kern w:val="0"/>
          <w:sz w:val="24"/>
          <w:szCs w:val="24"/>
        </w:rPr>
        <w:t>开设</w:t>
      </w:r>
      <w:r>
        <w:rPr>
          <w:rFonts w:hint="eastAsia" w:ascii="宋体" w:hAnsi="宋体" w:cs="Arial"/>
          <w:color w:val="auto"/>
          <w:kern w:val="0"/>
          <w:sz w:val="24"/>
          <w:szCs w:val="24"/>
          <w:lang w:eastAsia="zh-CN"/>
        </w:rPr>
        <w:t>通识实体选修</w:t>
      </w:r>
      <w:r>
        <w:rPr>
          <w:rFonts w:hint="eastAsia" w:ascii="宋体" w:hAnsi="宋体" w:cs="Arial"/>
          <w:color w:val="auto"/>
          <w:kern w:val="0"/>
          <w:sz w:val="24"/>
          <w:szCs w:val="24"/>
        </w:rPr>
        <w:t>课程应具备</w:t>
      </w:r>
      <w:r>
        <w:rPr>
          <w:rFonts w:hint="eastAsia" w:ascii="宋体" w:hAnsi="宋体" w:cs="Arial"/>
          <w:color w:val="auto"/>
          <w:kern w:val="0"/>
          <w:sz w:val="24"/>
          <w:szCs w:val="24"/>
          <w:lang w:eastAsia="zh-CN"/>
        </w:rPr>
        <w:t>授课计划、</w:t>
      </w:r>
      <w:r>
        <w:rPr>
          <w:rFonts w:hint="eastAsia" w:ascii="宋体" w:hAnsi="宋体" w:cs="Arial"/>
          <w:color w:val="auto"/>
          <w:kern w:val="0"/>
          <w:sz w:val="24"/>
          <w:szCs w:val="24"/>
        </w:rPr>
        <w:t>教学大纲、教案、教材或讲义、课件</w:t>
      </w:r>
      <w:r>
        <w:rPr>
          <w:rFonts w:hint="eastAsia" w:ascii="宋体" w:hAnsi="宋体" w:cs="Arial"/>
          <w:color w:val="auto"/>
          <w:kern w:val="0"/>
          <w:sz w:val="24"/>
          <w:szCs w:val="24"/>
          <w:lang w:eastAsia="zh-CN"/>
        </w:rPr>
        <w:t>等；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cs="Arial"/>
          <w:color w:val="auto"/>
          <w:kern w:val="0"/>
          <w:sz w:val="24"/>
          <w:szCs w:val="24"/>
        </w:rPr>
      </w:pPr>
      <w:r>
        <w:rPr>
          <w:rFonts w:hint="eastAsia" w:ascii="宋体" w:hAnsi="宋体" w:cs="Arial"/>
          <w:color w:val="auto"/>
          <w:kern w:val="0"/>
          <w:sz w:val="24"/>
          <w:szCs w:val="24"/>
          <w:lang w:val="en-US" w:eastAsia="zh-CN"/>
        </w:rPr>
        <w:t>3.选用正式出版的教材。如开课教师对所开设课程有较深入的研究,可根据讲授内容进行自编教材或讲义；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cs="Arial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Arial"/>
          <w:color w:val="auto"/>
          <w:kern w:val="0"/>
          <w:sz w:val="24"/>
          <w:szCs w:val="24"/>
          <w:lang w:val="en-US" w:eastAsia="zh-CN"/>
        </w:rPr>
        <w:t>4.通识实体选修课课时一般设置为26学时，1学分，最多不超过2学分；通识网络选修课程学时学分计算方法以具体课程核算为准。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cs="Arial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Arial"/>
          <w:color w:val="auto"/>
          <w:kern w:val="0"/>
          <w:sz w:val="24"/>
          <w:szCs w:val="24"/>
          <w:lang w:val="en-US" w:eastAsia="zh-CN"/>
        </w:rPr>
        <w:t>5.通识选修课开课人数原则上不少于40人(北区)，南区不少于20人，体育类不少于30人。</w:t>
      </w:r>
    </w:p>
    <w:p>
      <w:pPr>
        <w:widowControl/>
        <w:numPr>
          <w:ilvl w:val="0"/>
          <w:numId w:val="1"/>
        </w:numPr>
        <w:shd w:val="clear" w:color="auto" w:fill="FFFFFF"/>
        <w:spacing w:before="156" w:beforeLines="50" w:after="156" w:afterLines="50" w:line="360" w:lineRule="auto"/>
        <w:ind w:firstLine="241" w:firstLineChars="100"/>
        <w:outlineLvl w:val="1"/>
        <w:rPr>
          <w:rFonts w:hint="eastAsia" w:ascii="宋体" w:hAnsi="宋体" w:cs="Arial"/>
          <w:b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Arial"/>
          <w:b/>
          <w:color w:val="auto"/>
          <w:kern w:val="0"/>
          <w:sz w:val="24"/>
          <w:szCs w:val="24"/>
          <w:lang w:val="en-US" w:eastAsia="zh-CN"/>
        </w:rPr>
        <w:t>教师应具备的条件及要求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cs="Arial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Arial"/>
          <w:color w:val="auto"/>
          <w:kern w:val="0"/>
          <w:sz w:val="24"/>
          <w:szCs w:val="24"/>
          <w:lang w:val="en-US" w:eastAsia="zh-CN"/>
        </w:rPr>
        <w:t>学校鼓励符合条件的教师积极为本科生开设各类通识实体选修课、参加通识网络选修课的助课教师（简称助教）工作。各级教学名师、各类精品课程、获得优秀教学奖的教师应开设通识选修课。具体条件如下：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cs="Arial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Arial"/>
          <w:color w:val="auto"/>
          <w:kern w:val="0"/>
          <w:sz w:val="24"/>
          <w:szCs w:val="24"/>
          <w:lang w:val="en-US" w:eastAsia="zh-CN"/>
        </w:rPr>
        <w:t>1.专任教师开设通识实体选修课、网络选修课助教必须具备讲师及以上职称。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cs="Arial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Arial"/>
          <w:color w:val="auto"/>
          <w:kern w:val="0"/>
          <w:sz w:val="24"/>
          <w:szCs w:val="24"/>
          <w:lang w:val="en-US" w:eastAsia="zh-CN"/>
        </w:rPr>
        <w:t>2.非教师系列开设通识实体选修课必须具有副高以上职称,填写《通识选修课程申请表》(附教学大纲、教案、备选教材或讲义等)，通识网络选修课的助教须填写《通识网络选修课程助教申请表》报教务处审批。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cs="Arial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Arial"/>
          <w:color w:val="auto"/>
          <w:kern w:val="0"/>
          <w:sz w:val="24"/>
          <w:szCs w:val="24"/>
          <w:lang w:val="en-US" w:eastAsia="zh-CN"/>
        </w:rPr>
        <w:t>3.通识网络课程助课教师应认真学习使用课程网络教学平台，熟练掌握其各项管理功能，在开课前必须学习课程要求，观看课程视频，做好课程导学，发布课程考核要求（包括阶段在线考核的次数、作业的次数与要求、课程结业考核的方式与要求）、学习进度安排等，全程跟踪和监控学生学习进度，及时发布学生学习进程信息，特别关注学习情况不正常的学生并做好教育工作，督促其按期完成学习任务，定期发布课程学习公告，如：作业通知、教学活动预告、资源更新通知等。参与学生网上交流讨论，师生互动。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cs="Arial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Arial"/>
          <w:color w:val="auto"/>
          <w:kern w:val="0"/>
          <w:sz w:val="24"/>
          <w:szCs w:val="24"/>
          <w:lang w:val="en-US" w:eastAsia="zh-CN"/>
        </w:rPr>
        <w:t>4.对于非教师系列的申报教师，由教务处组织专家认定开课及助课资格。</w:t>
      </w:r>
    </w:p>
    <w:p>
      <w:pPr>
        <w:widowControl/>
        <w:numPr>
          <w:ilvl w:val="0"/>
          <w:numId w:val="0"/>
        </w:numPr>
        <w:shd w:val="clear" w:color="auto" w:fill="FFFFFF"/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cs="Arial"/>
          <w:color w:val="auto"/>
          <w:kern w:val="0"/>
          <w:sz w:val="24"/>
          <w:szCs w:val="24"/>
        </w:rPr>
      </w:pPr>
      <w:r>
        <w:rPr>
          <w:rFonts w:hint="eastAsia" w:ascii="宋体" w:hAnsi="宋体" w:cs="Arial"/>
          <w:color w:val="auto"/>
          <w:kern w:val="0"/>
          <w:sz w:val="24"/>
          <w:szCs w:val="24"/>
          <w:lang w:val="en-US" w:eastAsia="zh-CN"/>
        </w:rPr>
        <w:t>5.</w:t>
      </w:r>
      <w:r>
        <w:rPr>
          <w:rFonts w:hint="eastAsia" w:ascii="宋体" w:hAnsi="宋体" w:cs="Arial"/>
          <w:color w:val="auto"/>
          <w:kern w:val="0"/>
          <w:sz w:val="24"/>
          <w:szCs w:val="24"/>
        </w:rPr>
        <w:t>学校建立主讲教师</w:t>
      </w:r>
      <w:r>
        <w:rPr>
          <w:rFonts w:hint="eastAsia" w:ascii="宋体" w:hAnsi="宋体" w:cs="Arial"/>
          <w:color w:val="auto"/>
          <w:kern w:val="0"/>
          <w:sz w:val="24"/>
          <w:szCs w:val="24"/>
          <w:lang w:eastAsia="zh-CN"/>
        </w:rPr>
        <w:t>及助课教师（简称助教）</w:t>
      </w:r>
      <w:r>
        <w:rPr>
          <w:rFonts w:hint="eastAsia" w:ascii="宋体" w:hAnsi="宋体" w:cs="Arial"/>
          <w:color w:val="auto"/>
          <w:kern w:val="0"/>
          <w:sz w:val="24"/>
          <w:szCs w:val="24"/>
        </w:rPr>
        <w:t>退出机制。</w:t>
      </w:r>
    </w:p>
    <w:p>
      <w:pPr>
        <w:widowControl/>
        <w:numPr>
          <w:ilvl w:val="0"/>
          <w:numId w:val="0"/>
        </w:numPr>
        <w:shd w:val="clear" w:color="auto" w:fill="FFFFFF"/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cs="Arial"/>
          <w:color w:val="auto"/>
          <w:kern w:val="0"/>
          <w:sz w:val="24"/>
          <w:szCs w:val="24"/>
        </w:rPr>
      </w:pPr>
      <w:r>
        <w:rPr>
          <w:rFonts w:hint="eastAsia" w:ascii="宋体" w:hAnsi="宋体" w:cs="Arial"/>
          <w:color w:val="auto"/>
          <w:kern w:val="0"/>
          <w:sz w:val="24"/>
          <w:szCs w:val="24"/>
        </w:rPr>
        <w:t>为了保证通识选修课能够高质量、稳定开出，学校统一组织学生评教，并由督学对课堂教学效果进行不定期抽查</w:t>
      </w:r>
      <w:r>
        <w:rPr>
          <w:rFonts w:hint="eastAsia" w:ascii="宋体" w:hAnsi="宋体" w:cs="Arial"/>
          <w:color w:val="auto"/>
          <w:kern w:val="0"/>
          <w:sz w:val="24"/>
          <w:szCs w:val="24"/>
          <w:lang w:eastAsia="zh-CN"/>
        </w:rPr>
        <w:t>，</w:t>
      </w:r>
      <w:r>
        <w:rPr>
          <w:rFonts w:hint="eastAsia" w:ascii="宋体" w:hAnsi="宋体" w:cs="Arial"/>
          <w:color w:val="auto"/>
          <w:kern w:val="0"/>
          <w:sz w:val="24"/>
          <w:szCs w:val="24"/>
        </w:rPr>
        <w:t>对内容陈旧、效果较差的课程，将限期整改</w:t>
      </w:r>
      <w:r>
        <w:rPr>
          <w:rFonts w:hint="eastAsia" w:ascii="宋体" w:hAnsi="宋体" w:cs="Arial"/>
          <w:color w:val="auto"/>
          <w:kern w:val="0"/>
          <w:sz w:val="24"/>
          <w:szCs w:val="24"/>
          <w:lang w:eastAsia="zh-CN"/>
        </w:rPr>
        <w:t>，整改后仍不符合要求的，</w:t>
      </w:r>
      <w:r>
        <w:rPr>
          <w:rFonts w:hint="eastAsia" w:ascii="Times New Roman" w:hAnsi="宋体"/>
          <w:color w:val="auto"/>
          <w:kern w:val="0"/>
          <w:sz w:val="24"/>
          <w:szCs w:val="24"/>
          <w:lang w:eastAsia="zh-CN"/>
        </w:rPr>
        <w:t>将</w:t>
      </w:r>
      <w:r>
        <w:rPr>
          <w:rFonts w:hint="eastAsia" w:ascii="宋体" w:hAnsi="宋体" w:cs="Arial"/>
          <w:color w:val="auto"/>
          <w:kern w:val="0"/>
          <w:sz w:val="24"/>
          <w:szCs w:val="24"/>
        </w:rPr>
        <w:t>取消通识选修课主讲教师</w:t>
      </w:r>
      <w:r>
        <w:rPr>
          <w:rFonts w:hint="eastAsia" w:ascii="宋体" w:hAnsi="宋体" w:cs="Arial"/>
          <w:color w:val="auto"/>
          <w:kern w:val="0"/>
          <w:sz w:val="24"/>
          <w:szCs w:val="24"/>
          <w:lang w:eastAsia="zh-CN"/>
        </w:rPr>
        <w:t>或助课教师</w:t>
      </w:r>
      <w:r>
        <w:rPr>
          <w:rFonts w:hint="eastAsia" w:ascii="宋体" w:hAnsi="宋体" w:cs="Arial"/>
          <w:color w:val="auto"/>
          <w:kern w:val="0"/>
          <w:sz w:val="24"/>
          <w:szCs w:val="24"/>
        </w:rPr>
        <w:t>资格。</w:t>
      </w:r>
    </w:p>
    <w:p>
      <w:pPr>
        <w:widowControl/>
        <w:shd w:val="clear" w:color="auto" w:fill="FFFFFF"/>
        <w:spacing w:before="156" w:beforeLines="50" w:after="156" w:afterLines="50" w:line="360" w:lineRule="auto"/>
        <w:ind w:firstLine="354" w:firstLineChars="147"/>
        <w:outlineLvl w:val="1"/>
        <w:rPr>
          <w:rFonts w:ascii="宋体" w:hAnsi="宋体" w:cs="Arial"/>
          <w:b/>
          <w:color w:val="auto"/>
          <w:kern w:val="0"/>
          <w:sz w:val="24"/>
          <w:szCs w:val="24"/>
        </w:rPr>
      </w:pPr>
      <w:r>
        <w:rPr>
          <w:rFonts w:hint="eastAsia" w:ascii="宋体" w:hAnsi="宋体" w:cs="Arial"/>
          <w:b/>
          <w:color w:val="auto"/>
          <w:kern w:val="0"/>
          <w:sz w:val="24"/>
          <w:szCs w:val="24"/>
        </w:rPr>
        <w:t>三、课程体系管理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cs="Arial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cs="Arial"/>
          <w:bCs/>
          <w:color w:val="auto"/>
          <w:kern w:val="0"/>
          <w:sz w:val="24"/>
          <w:szCs w:val="24"/>
        </w:rPr>
        <w:t>学校统一规划通识选修课，汇聚全校优质教学资源，建立校级通识选修课程体系，</w:t>
      </w:r>
      <w:r>
        <w:rPr>
          <w:rFonts w:hint="eastAsia" w:ascii="宋体" w:hAnsi="宋体" w:cs="Arial"/>
          <w:color w:val="auto"/>
          <w:kern w:val="0"/>
          <w:sz w:val="24"/>
          <w:szCs w:val="24"/>
          <w:lang w:val="en-US" w:eastAsia="zh-CN"/>
        </w:rPr>
        <w:t>通识选修课程由教务处和课程所属学院共同管理。学校成立由教务处、课程所属学院等相关人员组成的“通识选修课程实施工作组”，其职责是负责通识实体选修课程开设、通识网络选修课程遴选、教师及助教遴选、选课管理、过程监控与协调等工作，保障通识选修课程顺利实施，</w:t>
      </w:r>
      <w:r>
        <w:rPr>
          <w:rFonts w:hint="eastAsia" w:ascii="宋体" w:hAnsi="宋体" w:cs="Arial"/>
          <w:bCs/>
          <w:color w:val="auto"/>
          <w:kern w:val="0"/>
          <w:sz w:val="24"/>
          <w:szCs w:val="24"/>
        </w:rPr>
        <w:t>确保通识选修课的课程质量</w:t>
      </w:r>
      <w:r>
        <w:rPr>
          <w:rFonts w:hint="eastAsia" w:ascii="宋体" w:hAnsi="宋体" w:cs="Arial"/>
          <w:bCs/>
          <w:color w:val="auto"/>
          <w:kern w:val="0"/>
          <w:sz w:val="24"/>
          <w:szCs w:val="24"/>
          <w:lang w:eastAsia="zh-CN"/>
        </w:rPr>
        <w:t>。</w:t>
      </w:r>
    </w:p>
    <w:p>
      <w:pPr>
        <w:widowControl/>
        <w:shd w:val="clear" w:color="auto" w:fill="FFFFFF"/>
        <w:spacing w:line="360" w:lineRule="auto"/>
        <w:ind w:firstLine="482" w:firstLineChars="200"/>
        <w:jc w:val="left"/>
        <w:rPr>
          <w:rFonts w:hint="eastAsia" w:ascii="宋体" w:hAnsi="宋体" w:cs="Arial"/>
          <w:b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Arial"/>
          <w:b/>
          <w:bCs/>
          <w:color w:val="auto"/>
          <w:kern w:val="0"/>
          <w:sz w:val="24"/>
          <w:szCs w:val="24"/>
          <w:lang w:val="en-US" w:eastAsia="zh-CN"/>
        </w:rPr>
        <w:t>（一）教务处职责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cs="Arial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Arial"/>
          <w:color w:val="auto"/>
          <w:kern w:val="0"/>
          <w:sz w:val="24"/>
          <w:szCs w:val="24"/>
          <w:lang w:val="en-US" w:eastAsia="zh-CN"/>
        </w:rPr>
        <w:t>教务处宏观指导实体选修课程开设、网络选修课遴选及实施管理；根据学生需求和学校实际开设及遴选通识选修课程，负责网络选修课程购买、系统安装、信息导入等相关事宜；负责学生选课信息发布、系统管理（包括课程、教师、助教、公告、工作量、访问量统计等）；定期发布学生学习进程信息等。</w:t>
      </w:r>
    </w:p>
    <w:p>
      <w:pPr>
        <w:widowControl/>
        <w:shd w:val="clear" w:color="auto" w:fill="FFFFFF"/>
        <w:spacing w:line="360" w:lineRule="auto"/>
        <w:ind w:firstLine="482" w:firstLineChars="200"/>
        <w:jc w:val="left"/>
        <w:rPr>
          <w:rFonts w:hint="eastAsia" w:ascii="宋体" w:hAnsi="宋体" w:cs="Arial"/>
          <w:b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Arial"/>
          <w:b/>
          <w:bCs/>
          <w:color w:val="auto"/>
          <w:kern w:val="0"/>
          <w:sz w:val="24"/>
          <w:szCs w:val="24"/>
          <w:lang w:val="en-US" w:eastAsia="zh-CN"/>
        </w:rPr>
        <w:t>（二）课程所属学院职责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cs="Arial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Arial"/>
          <w:color w:val="auto"/>
          <w:kern w:val="0"/>
          <w:sz w:val="24"/>
          <w:szCs w:val="24"/>
          <w:lang w:val="en-US" w:eastAsia="zh-CN"/>
        </w:rPr>
        <w:t>课程所属学院应协助教务处开设实体选修课程、遴选网络选修课程、推荐开课教师及助课教师（教师名单于选课前两周报教务处备案），助课教师负责学生学习进程的全程监控、作业布置、组织考试、成绩处理及分析，并做好网络选修课程学习状况的调研等工作。</w:t>
      </w:r>
    </w:p>
    <w:p>
      <w:pPr>
        <w:widowControl/>
        <w:shd w:val="clear" w:color="auto" w:fill="FFFFFF"/>
        <w:spacing w:line="360" w:lineRule="auto"/>
        <w:ind w:firstLine="482" w:firstLineChars="200"/>
        <w:jc w:val="left"/>
        <w:rPr>
          <w:rFonts w:hint="eastAsia" w:ascii="宋体" w:hAnsi="宋体" w:cs="Arial"/>
          <w:b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Arial"/>
          <w:b/>
          <w:bCs/>
          <w:color w:val="auto"/>
          <w:kern w:val="0"/>
          <w:sz w:val="24"/>
          <w:szCs w:val="24"/>
          <w:lang w:val="en-US" w:eastAsia="zh-CN"/>
        </w:rPr>
        <w:t>（三）课程的过程管理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cs="Arial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Arial"/>
          <w:color w:val="auto"/>
          <w:kern w:val="0"/>
          <w:sz w:val="24"/>
          <w:szCs w:val="24"/>
          <w:lang w:val="en-US" w:eastAsia="zh-CN"/>
        </w:rPr>
        <w:t>1.教务处在前一学期期末发布选课通知，告知学生选课对象、时间、开设课程等信息，各学院组织学生选课。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cs="Arial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Arial"/>
          <w:color w:val="auto"/>
          <w:kern w:val="0"/>
          <w:sz w:val="24"/>
          <w:szCs w:val="24"/>
          <w:lang w:val="en-US" w:eastAsia="zh-CN"/>
        </w:rPr>
        <w:t>2.学生自行登录教务管理系统了解课程的相关信息，并根据自己兴趣爱好按模块进行选择课程，在教务系统中进行选课。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default" w:ascii="宋体" w:hAnsi="宋体" w:cs="Arial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Arial"/>
          <w:color w:val="auto"/>
          <w:kern w:val="0"/>
          <w:sz w:val="24"/>
          <w:szCs w:val="24"/>
          <w:lang w:val="en-US" w:eastAsia="zh-CN"/>
        </w:rPr>
        <w:t>3.</w:t>
      </w:r>
      <w:r>
        <w:rPr>
          <w:rFonts w:hint="eastAsia" w:ascii="宋体" w:hAnsi="宋体" w:cs="Arial"/>
          <w:color w:val="auto"/>
          <w:kern w:val="0"/>
          <w:sz w:val="24"/>
          <w:szCs w:val="24"/>
        </w:rPr>
        <w:t>各教学单位在构建校级通识选修课课程体系时要将科学基础类、人文艺术类、学科前沿类课程纳入通识选修课程体系；鼓励各教学单位聘请国内外知名学者为我校开设通识选修课或讲座，并将其纳入课程体系。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cs="Arial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Arial"/>
          <w:color w:val="auto"/>
          <w:kern w:val="0"/>
          <w:sz w:val="24"/>
          <w:szCs w:val="24"/>
          <w:lang w:val="en-US" w:eastAsia="zh-CN"/>
        </w:rPr>
        <w:t>4.对于网络选修课，教务处从选课系统中将学生的选课信息进行汇总，并提供给开课学院及网络通识课程在线教学平台，在线教学平台负责学生信息导入、学习进度监控、课程访问统计分析、学生学习的导学、督学、答疑;在线解决学生、管理员等使用问题，学习进程中对学习情况进行问卷调查、系统维护等工作，教务处及课程所属学院定期发布学生学习进程信息，督促其按期完成学习任务，期中和期末各发布一次，学习结束后，网络课程平台将学生成绩导出，助课教师将学生成绩导入教务管理系统。课程所属学院对作业、讨论、答疑、成绩等数据进行统计分析，并组织学生进行课程评价。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cs="Arial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Arial"/>
          <w:color w:val="auto"/>
          <w:kern w:val="0"/>
          <w:sz w:val="24"/>
          <w:szCs w:val="24"/>
          <w:lang w:val="en-US" w:eastAsia="zh-CN"/>
        </w:rPr>
        <w:t>5.学校建立通识选修课程准入机制。在保证通识选修课程体系基本稳定的前提下，学校将不定期组织通识选修新课程的申报、网络课程的购买与评审，遴选部分新课程进入通识选修课程体系。</w:t>
      </w:r>
    </w:p>
    <w:p>
      <w:pPr>
        <w:widowControl/>
        <w:shd w:val="clear" w:color="auto" w:fill="FFFFFF"/>
        <w:spacing w:before="156" w:beforeLines="50" w:after="156" w:afterLines="50" w:line="360" w:lineRule="auto"/>
        <w:ind w:firstLine="354" w:firstLineChars="147"/>
        <w:outlineLvl w:val="1"/>
        <w:rPr>
          <w:rFonts w:ascii="宋体" w:hAnsi="宋体" w:cs="Arial"/>
          <w:b/>
          <w:color w:val="auto"/>
          <w:kern w:val="0"/>
          <w:sz w:val="24"/>
          <w:szCs w:val="24"/>
        </w:rPr>
      </w:pPr>
      <w:r>
        <w:rPr>
          <w:rFonts w:hint="eastAsia" w:ascii="宋体" w:hAnsi="宋体" w:cs="Arial"/>
          <w:b/>
          <w:color w:val="auto"/>
          <w:kern w:val="0"/>
          <w:sz w:val="24"/>
          <w:szCs w:val="24"/>
        </w:rPr>
        <w:t>四、教学计划管理</w:t>
      </w:r>
    </w:p>
    <w:p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360" w:lineRule="auto"/>
        <w:ind w:left="0" w:firstLine="482"/>
        <w:jc w:val="left"/>
        <w:rPr>
          <w:rFonts w:hint="eastAsia" w:ascii="宋体" w:hAnsi="宋体" w:cs="Arial"/>
          <w:color w:val="auto"/>
          <w:kern w:val="0"/>
          <w:sz w:val="24"/>
          <w:szCs w:val="24"/>
        </w:rPr>
      </w:pPr>
      <w:r>
        <w:rPr>
          <w:rFonts w:hint="eastAsia" w:ascii="宋体" w:hAnsi="宋体" w:cs="Arial"/>
          <w:color w:val="auto"/>
          <w:kern w:val="0"/>
          <w:sz w:val="24"/>
          <w:szCs w:val="24"/>
        </w:rPr>
        <w:t>教务处将在各学期安排开设通识选修课，根据通识选修课程体系下达通识选修课开课计划。</w:t>
      </w:r>
    </w:p>
    <w:p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360" w:lineRule="auto"/>
        <w:ind w:left="0" w:firstLine="482"/>
        <w:jc w:val="left"/>
        <w:rPr>
          <w:rFonts w:hint="eastAsia" w:ascii="宋体" w:hAnsi="宋体" w:cs="Arial"/>
          <w:color w:val="auto"/>
          <w:kern w:val="0"/>
          <w:sz w:val="24"/>
          <w:szCs w:val="24"/>
        </w:rPr>
      </w:pPr>
      <w:r>
        <w:rPr>
          <w:rFonts w:hint="eastAsia" w:ascii="宋体" w:hAnsi="宋体" w:cs="Arial"/>
          <w:color w:val="auto"/>
          <w:kern w:val="0"/>
          <w:sz w:val="24"/>
          <w:szCs w:val="24"/>
        </w:rPr>
        <w:t>通识选修课开课计划经过任课教师</w:t>
      </w:r>
      <w:r>
        <w:rPr>
          <w:rFonts w:hint="eastAsia" w:ascii="宋体" w:hAnsi="宋体" w:cs="Arial"/>
          <w:color w:val="auto"/>
          <w:kern w:val="0"/>
          <w:sz w:val="24"/>
          <w:szCs w:val="24"/>
          <w:lang w:eastAsia="zh-CN"/>
        </w:rPr>
        <w:t>及助课教师</w:t>
      </w:r>
      <w:r>
        <w:rPr>
          <w:rFonts w:hint="eastAsia" w:ascii="宋体" w:hAnsi="宋体" w:cs="Arial"/>
          <w:color w:val="auto"/>
          <w:kern w:val="0"/>
          <w:sz w:val="24"/>
          <w:szCs w:val="24"/>
        </w:rPr>
        <w:t>确认后形成通识选修课执行计划。</w:t>
      </w:r>
    </w:p>
    <w:p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360" w:lineRule="auto"/>
        <w:ind w:left="0" w:firstLine="482"/>
        <w:jc w:val="left"/>
        <w:rPr>
          <w:rFonts w:ascii="宋体" w:hAnsi="宋体" w:cs="Arial"/>
          <w:color w:val="auto"/>
          <w:kern w:val="0"/>
          <w:sz w:val="24"/>
          <w:szCs w:val="24"/>
        </w:rPr>
      </w:pPr>
      <w:r>
        <w:rPr>
          <w:rFonts w:hint="eastAsia" w:ascii="宋体" w:hAnsi="宋体" w:cs="Arial"/>
          <w:color w:val="auto"/>
          <w:kern w:val="0"/>
          <w:sz w:val="24"/>
          <w:szCs w:val="24"/>
        </w:rPr>
        <w:t>通识选修课执行计划形成后在教务处主页及布告栏上公布、并向学生提供课程备选信息，组织学生选课。</w:t>
      </w:r>
    </w:p>
    <w:p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360" w:lineRule="auto"/>
        <w:ind w:left="0" w:firstLine="482"/>
        <w:jc w:val="left"/>
        <w:rPr>
          <w:rFonts w:hint="eastAsia" w:ascii="宋体" w:hAnsi="宋体" w:cs="Arial"/>
          <w:color w:val="auto"/>
          <w:kern w:val="0"/>
          <w:sz w:val="24"/>
          <w:szCs w:val="24"/>
        </w:rPr>
      </w:pPr>
      <w:r>
        <w:rPr>
          <w:rFonts w:hint="eastAsia" w:ascii="宋体" w:hAnsi="宋体" w:cs="Arial"/>
          <w:color w:val="auto"/>
          <w:kern w:val="0"/>
          <w:sz w:val="24"/>
          <w:szCs w:val="24"/>
        </w:rPr>
        <w:t>教务处根据选课情况编排通识选修课课表。</w:t>
      </w:r>
    </w:p>
    <w:p>
      <w:pPr>
        <w:widowControl/>
        <w:shd w:val="clear" w:color="auto" w:fill="FFFFFF"/>
        <w:spacing w:before="156" w:beforeLines="50" w:after="156" w:afterLines="50" w:line="360" w:lineRule="auto"/>
        <w:ind w:firstLine="354" w:firstLineChars="147"/>
        <w:outlineLvl w:val="1"/>
        <w:rPr>
          <w:rFonts w:hint="eastAsia" w:ascii="宋体" w:hAnsi="宋体" w:cs="Arial"/>
          <w:b/>
          <w:color w:val="auto"/>
          <w:kern w:val="0"/>
          <w:sz w:val="24"/>
          <w:szCs w:val="24"/>
        </w:rPr>
      </w:pPr>
      <w:r>
        <w:rPr>
          <w:rFonts w:hint="eastAsia" w:ascii="宋体" w:hAnsi="宋体" w:cs="Arial"/>
          <w:b/>
          <w:color w:val="auto"/>
          <w:kern w:val="0"/>
          <w:sz w:val="24"/>
          <w:szCs w:val="24"/>
        </w:rPr>
        <w:t>五、教学运行管理</w:t>
      </w:r>
    </w:p>
    <w:p>
      <w:pPr>
        <w:widowControl/>
        <w:numPr>
          <w:ilvl w:val="0"/>
          <w:numId w:val="3"/>
        </w:numPr>
        <w:shd w:val="clear" w:color="auto" w:fill="FFFFFF"/>
        <w:adjustRightInd w:val="0"/>
        <w:snapToGrid w:val="0"/>
        <w:spacing w:line="360" w:lineRule="auto"/>
        <w:ind w:left="0" w:firstLine="482"/>
        <w:jc w:val="left"/>
        <w:rPr>
          <w:rFonts w:hint="eastAsia" w:ascii="宋体" w:hAnsi="宋体" w:cs="Arial"/>
          <w:color w:val="auto"/>
          <w:kern w:val="0"/>
          <w:sz w:val="24"/>
          <w:szCs w:val="24"/>
        </w:rPr>
      </w:pPr>
      <w:r>
        <w:rPr>
          <w:rFonts w:hint="eastAsia" w:ascii="宋体" w:hAnsi="宋体" w:cs="Arial"/>
          <w:color w:val="auto"/>
          <w:kern w:val="0"/>
          <w:sz w:val="24"/>
          <w:szCs w:val="24"/>
        </w:rPr>
        <w:t>通识选修课严格按教务处下达的开课通知进行教学，教师因特殊原因需调串课的，须提前一周向教务处提出书面申请，经同意后方可调串课；</w:t>
      </w:r>
      <w:r>
        <w:rPr>
          <w:rFonts w:ascii="宋体" w:hAnsi="宋体" w:cs="Arial"/>
          <w:color w:val="auto"/>
          <w:kern w:val="0"/>
          <w:sz w:val="24"/>
          <w:szCs w:val="24"/>
        </w:rPr>
        <w:t xml:space="preserve"> </w:t>
      </w:r>
    </w:p>
    <w:p>
      <w:pPr>
        <w:widowControl/>
        <w:numPr>
          <w:ilvl w:val="0"/>
          <w:numId w:val="3"/>
        </w:numPr>
        <w:shd w:val="clear" w:color="auto" w:fill="FFFFFF"/>
        <w:adjustRightInd w:val="0"/>
        <w:snapToGrid w:val="0"/>
        <w:spacing w:line="360" w:lineRule="auto"/>
        <w:ind w:left="0" w:firstLine="482"/>
        <w:jc w:val="left"/>
        <w:rPr>
          <w:rFonts w:ascii="宋体" w:hAnsi="宋体" w:cs="Arial"/>
          <w:color w:val="auto"/>
          <w:kern w:val="0"/>
          <w:sz w:val="24"/>
          <w:szCs w:val="24"/>
        </w:rPr>
      </w:pPr>
      <w:r>
        <w:rPr>
          <w:rFonts w:hint="eastAsia" w:ascii="宋体" w:hAnsi="宋体" w:cs="Arial"/>
          <w:color w:val="auto"/>
          <w:kern w:val="0"/>
          <w:sz w:val="24"/>
          <w:szCs w:val="24"/>
        </w:rPr>
        <w:t>学生选课按照教务处的《选课指南》进行。选课结果一经形成，不得随意退、改选；个别确需退、改选者，应提出书面申请，经所在学院确认后报教务处审批。</w:t>
      </w:r>
    </w:p>
    <w:p>
      <w:pPr>
        <w:widowControl/>
        <w:numPr>
          <w:ilvl w:val="0"/>
          <w:numId w:val="3"/>
        </w:numPr>
        <w:shd w:val="clear" w:color="auto" w:fill="FFFFFF"/>
        <w:adjustRightInd w:val="0"/>
        <w:snapToGrid w:val="0"/>
        <w:spacing w:line="360" w:lineRule="auto"/>
        <w:ind w:left="0" w:firstLine="482"/>
        <w:jc w:val="left"/>
        <w:rPr>
          <w:rFonts w:ascii="宋体" w:hAnsi="宋体" w:cs="Arial"/>
          <w:color w:val="auto"/>
          <w:kern w:val="0"/>
          <w:sz w:val="24"/>
          <w:szCs w:val="24"/>
        </w:rPr>
      </w:pPr>
      <w:r>
        <w:rPr>
          <w:rFonts w:hint="eastAsia" w:ascii="宋体" w:hAnsi="宋体" w:cs="Arial"/>
          <w:color w:val="auto"/>
          <w:kern w:val="0"/>
          <w:sz w:val="24"/>
          <w:szCs w:val="24"/>
        </w:rPr>
        <w:t>通识选修课学生出勤情况由任课教师</w:t>
      </w:r>
      <w:r>
        <w:rPr>
          <w:rFonts w:hint="eastAsia" w:ascii="宋体" w:hAnsi="宋体" w:cs="Arial"/>
          <w:color w:val="auto"/>
          <w:kern w:val="0"/>
          <w:sz w:val="24"/>
          <w:szCs w:val="24"/>
          <w:lang w:eastAsia="zh-CN"/>
        </w:rPr>
        <w:t>或助课教师</w:t>
      </w:r>
      <w:r>
        <w:rPr>
          <w:rFonts w:hint="eastAsia" w:ascii="宋体" w:hAnsi="宋体" w:cs="Arial"/>
          <w:color w:val="auto"/>
          <w:kern w:val="0"/>
          <w:sz w:val="24"/>
          <w:szCs w:val="24"/>
        </w:rPr>
        <w:t>负责考勤。学生请假须凭请假条和有关证明事先办理请假手续。非连续性请假，由任课教师</w:t>
      </w:r>
      <w:r>
        <w:rPr>
          <w:rFonts w:hint="eastAsia" w:ascii="宋体" w:hAnsi="宋体" w:cs="Arial"/>
          <w:color w:val="auto"/>
          <w:kern w:val="0"/>
          <w:sz w:val="24"/>
          <w:szCs w:val="24"/>
          <w:lang w:eastAsia="zh-CN"/>
        </w:rPr>
        <w:t>或助课教师</w:t>
      </w:r>
      <w:r>
        <w:rPr>
          <w:rFonts w:hint="eastAsia" w:ascii="宋体" w:hAnsi="宋体" w:cs="Arial"/>
          <w:color w:val="auto"/>
          <w:kern w:val="0"/>
          <w:sz w:val="24"/>
          <w:szCs w:val="24"/>
        </w:rPr>
        <w:t>批准；连续请假两次及其以上者，由学生所在学院批准并书面告知任课教师</w:t>
      </w:r>
      <w:r>
        <w:rPr>
          <w:rFonts w:hint="eastAsia" w:ascii="宋体" w:hAnsi="宋体" w:cs="Arial"/>
          <w:color w:val="auto"/>
          <w:kern w:val="0"/>
          <w:sz w:val="24"/>
          <w:szCs w:val="24"/>
          <w:lang w:eastAsia="zh-CN"/>
        </w:rPr>
        <w:t>或助课教师</w:t>
      </w:r>
      <w:r>
        <w:rPr>
          <w:rFonts w:hint="eastAsia" w:ascii="宋体" w:hAnsi="宋体" w:cs="Arial"/>
          <w:color w:val="auto"/>
          <w:kern w:val="0"/>
          <w:sz w:val="24"/>
          <w:szCs w:val="24"/>
        </w:rPr>
        <w:t>。</w:t>
      </w:r>
    </w:p>
    <w:p>
      <w:pPr>
        <w:widowControl/>
        <w:numPr>
          <w:ilvl w:val="0"/>
          <w:numId w:val="3"/>
        </w:numPr>
        <w:shd w:val="clear" w:color="auto" w:fill="FFFFFF"/>
        <w:adjustRightInd w:val="0"/>
        <w:snapToGrid w:val="0"/>
        <w:spacing w:line="360" w:lineRule="auto"/>
        <w:ind w:left="0" w:firstLine="482"/>
        <w:jc w:val="left"/>
        <w:rPr>
          <w:rFonts w:ascii="宋体" w:hAnsi="宋体" w:cs="Arial"/>
          <w:color w:val="auto"/>
          <w:kern w:val="0"/>
          <w:sz w:val="24"/>
          <w:szCs w:val="24"/>
        </w:rPr>
      </w:pPr>
      <w:r>
        <w:rPr>
          <w:rFonts w:hint="eastAsia" w:ascii="宋体" w:hAnsi="宋体" w:cs="Arial"/>
          <w:color w:val="auto"/>
          <w:kern w:val="0"/>
          <w:sz w:val="24"/>
          <w:szCs w:val="24"/>
        </w:rPr>
        <w:t>通识选修课程学生缺旷课累计超过课程总学时三分之一或缺交作业（实验报告）累计达三分之一者，不得参加该课程考核，成绩以零分计，不计学分。</w:t>
      </w:r>
    </w:p>
    <w:p>
      <w:pPr>
        <w:widowControl/>
        <w:numPr>
          <w:ilvl w:val="0"/>
          <w:numId w:val="3"/>
        </w:numPr>
        <w:shd w:val="clear" w:color="auto" w:fill="FFFFFF"/>
        <w:adjustRightInd w:val="0"/>
        <w:snapToGrid w:val="0"/>
        <w:spacing w:line="360" w:lineRule="auto"/>
        <w:ind w:left="0" w:firstLine="482"/>
        <w:jc w:val="left"/>
        <w:rPr>
          <w:rFonts w:hint="eastAsia" w:ascii="宋体" w:hAnsi="宋体" w:cs="Arial"/>
          <w:color w:val="auto"/>
          <w:kern w:val="0"/>
          <w:sz w:val="24"/>
          <w:szCs w:val="24"/>
        </w:rPr>
      </w:pPr>
      <w:r>
        <w:rPr>
          <w:rFonts w:hint="eastAsia" w:ascii="宋体" w:hAnsi="宋体" w:cs="Arial"/>
          <w:color w:val="auto"/>
          <w:kern w:val="0"/>
          <w:sz w:val="24"/>
          <w:szCs w:val="24"/>
        </w:rPr>
        <w:t>通识选修课成绩由任课教师</w:t>
      </w:r>
      <w:r>
        <w:rPr>
          <w:rFonts w:hint="eastAsia" w:ascii="宋体" w:hAnsi="宋体" w:cs="Arial"/>
          <w:color w:val="auto"/>
          <w:kern w:val="0"/>
          <w:sz w:val="24"/>
          <w:szCs w:val="24"/>
          <w:lang w:eastAsia="zh-CN"/>
        </w:rPr>
        <w:t>或助课教师</w:t>
      </w:r>
      <w:r>
        <w:rPr>
          <w:rFonts w:hint="eastAsia" w:ascii="宋体" w:hAnsi="宋体" w:cs="Arial"/>
          <w:color w:val="auto"/>
          <w:kern w:val="0"/>
          <w:sz w:val="24"/>
          <w:szCs w:val="24"/>
        </w:rPr>
        <w:t>在考核结束后三天内输入学校综合教学管理系统，并打印成绩单一式二份</w:t>
      </w:r>
      <w:r>
        <w:rPr>
          <w:rFonts w:hint="eastAsia" w:ascii="宋体" w:hAnsi="宋体" w:cs="Arial"/>
          <w:color w:val="auto"/>
          <w:kern w:val="0"/>
          <w:sz w:val="24"/>
          <w:szCs w:val="24"/>
          <w:lang w:eastAsia="zh-CN"/>
        </w:rPr>
        <w:t>，</w:t>
      </w:r>
      <w:r>
        <w:rPr>
          <w:rFonts w:hint="eastAsia" w:ascii="宋体" w:hAnsi="宋体" w:cs="Arial"/>
          <w:color w:val="auto"/>
          <w:kern w:val="0"/>
          <w:sz w:val="24"/>
          <w:szCs w:val="24"/>
        </w:rPr>
        <w:t>签名后送</w:t>
      </w:r>
      <w:r>
        <w:rPr>
          <w:rFonts w:hint="eastAsia" w:ascii="宋体" w:hAnsi="宋体" w:cs="Arial"/>
          <w:color w:val="auto"/>
          <w:kern w:val="0"/>
          <w:sz w:val="24"/>
          <w:szCs w:val="24"/>
          <w:lang w:eastAsia="zh-CN"/>
        </w:rPr>
        <w:t>教务处和</w:t>
      </w:r>
      <w:r>
        <w:rPr>
          <w:rFonts w:hint="eastAsia" w:ascii="宋体" w:hAnsi="宋体" w:cs="Arial"/>
          <w:color w:val="auto"/>
          <w:kern w:val="0"/>
          <w:sz w:val="24"/>
          <w:szCs w:val="24"/>
        </w:rPr>
        <w:t>开课学院</w:t>
      </w:r>
      <w:r>
        <w:rPr>
          <w:rFonts w:hint="eastAsia" w:ascii="宋体" w:hAnsi="宋体" w:cs="Arial"/>
          <w:color w:val="auto"/>
          <w:kern w:val="0"/>
          <w:sz w:val="24"/>
          <w:szCs w:val="24"/>
          <w:lang w:eastAsia="zh-CN"/>
        </w:rPr>
        <w:t>各一份</w:t>
      </w:r>
      <w:r>
        <w:rPr>
          <w:rFonts w:hint="eastAsia" w:ascii="宋体" w:hAnsi="宋体" w:cs="Arial"/>
          <w:color w:val="auto"/>
          <w:kern w:val="0"/>
          <w:sz w:val="24"/>
          <w:szCs w:val="24"/>
        </w:rPr>
        <w:t>。</w:t>
      </w:r>
    </w:p>
    <w:p>
      <w:pPr>
        <w:widowControl/>
        <w:numPr>
          <w:ilvl w:val="0"/>
          <w:numId w:val="3"/>
        </w:numPr>
        <w:shd w:val="clear" w:color="auto" w:fill="FFFFFF"/>
        <w:adjustRightInd w:val="0"/>
        <w:snapToGrid w:val="0"/>
        <w:spacing w:line="360" w:lineRule="auto"/>
        <w:ind w:left="0" w:firstLine="482"/>
        <w:jc w:val="left"/>
        <w:rPr>
          <w:rFonts w:hint="eastAsia" w:ascii="宋体" w:hAnsi="宋体" w:cs="Arial"/>
          <w:color w:val="auto"/>
          <w:kern w:val="0"/>
          <w:sz w:val="24"/>
          <w:szCs w:val="24"/>
        </w:rPr>
      </w:pPr>
      <w:r>
        <w:rPr>
          <w:rFonts w:hint="eastAsia" w:ascii="宋体" w:hAnsi="宋体" w:cs="Arial"/>
          <w:color w:val="auto"/>
          <w:kern w:val="0"/>
          <w:sz w:val="24"/>
          <w:szCs w:val="24"/>
        </w:rPr>
        <w:t>各学院要协助做好通识选修课程运行中的相关工作。</w:t>
      </w:r>
    </w:p>
    <w:p>
      <w:pPr>
        <w:widowControl/>
        <w:numPr>
          <w:ilvl w:val="0"/>
          <w:numId w:val="4"/>
        </w:numPr>
        <w:shd w:val="clear" w:color="auto" w:fill="FFFFFF"/>
        <w:spacing w:line="360" w:lineRule="auto"/>
        <w:ind w:firstLine="354" w:firstLineChars="147"/>
        <w:outlineLvl w:val="1"/>
        <w:rPr>
          <w:rFonts w:hint="eastAsia" w:ascii="宋体" w:hAnsi="宋体" w:cs="Arial"/>
          <w:b/>
          <w:color w:val="auto"/>
          <w:kern w:val="0"/>
          <w:sz w:val="24"/>
          <w:szCs w:val="24"/>
          <w:lang w:eastAsia="zh-CN"/>
        </w:rPr>
      </w:pPr>
      <w:r>
        <w:rPr>
          <w:rFonts w:hint="eastAsia" w:ascii="宋体" w:hAnsi="宋体" w:cs="Arial"/>
          <w:b/>
          <w:color w:val="auto"/>
          <w:kern w:val="0"/>
          <w:sz w:val="24"/>
          <w:szCs w:val="24"/>
          <w:lang w:eastAsia="zh-CN"/>
        </w:rPr>
        <w:t>其他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cs="Arial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Arial"/>
          <w:color w:val="auto"/>
          <w:kern w:val="0"/>
          <w:sz w:val="24"/>
          <w:szCs w:val="24"/>
          <w:lang w:val="en-US" w:eastAsia="zh-CN"/>
        </w:rPr>
        <w:t>本规定自发布之日起执行，由教务处负责解释。</w:t>
      </w:r>
    </w:p>
    <w:p>
      <w:pPr>
        <w:widowControl/>
        <w:shd w:val="clear" w:color="auto" w:fill="FFFFFF"/>
        <w:spacing w:line="360" w:lineRule="auto"/>
        <w:ind w:firstLine="3080" w:firstLineChars="1400"/>
        <w:jc w:val="left"/>
        <w:rPr>
          <w:rFonts w:hint="eastAsia" w:ascii="仿宋_GB2312" w:hAnsi="宋体" w:eastAsia="仿宋_GB2312" w:cs="宋体"/>
          <w:color w:val="auto"/>
          <w:kern w:val="0"/>
          <w:sz w:val="22"/>
          <w:szCs w:val="21"/>
        </w:rPr>
      </w:pPr>
      <w:r>
        <w:rPr>
          <w:rFonts w:hint="eastAsia" w:ascii="仿宋_GB2312" w:hAnsi="宋体" w:eastAsia="仿宋_GB2312" w:cs="宋体"/>
          <w:color w:val="auto"/>
          <w:kern w:val="0"/>
          <w:sz w:val="22"/>
          <w:szCs w:val="21"/>
        </w:rPr>
        <w:t>               </w:t>
      </w:r>
    </w:p>
    <w:p>
      <w:pPr>
        <w:widowControl/>
        <w:shd w:val="clear" w:color="auto" w:fill="FFFFFF"/>
        <w:spacing w:line="360" w:lineRule="auto"/>
        <w:ind w:firstLine="3080" w:firstLineChars="1400"/>
        <w:jc w:val="left"/>
        <w:rPr>
          <w:rFonts w:hint="eastAsia" w:ascii="仿宋_GB2312" w:hAnsi="宋体" w:eastAsia="仿宋_GB2312" w:cs="宋体"/>
          <w:color w:val="auto"/>
          <w:kern w:val="0"/>
          <w:sz w:val="22"/>
          <w:szCs w:val="21"/>
        </w:rPr>
      </w:pPr>
    </w:p>
    <w:p>
      <w:pPr>
        <w:widowControl/>
        <w:shd w:val="clear" w:color="auto" w:fill="FFFFFF"/>
        <w:adjustRightInd w:val="0"/>
        <w:snapToGrid w:val="0"/>
        <w:spacing w:line="360" w:lineRule="auto"/>
        <w:jc w:val="right"/>
        <w:rPr>
          <w:rFonts w:hint="eastAsia" w:ascii="宋体" w:hAnsi="宋体" w:cs="Arial"/>
          <w:color w:val="auto"/>
          <w:kern w:val="0"/>
          <w:sz w:val="24"/>
          <w:szCs w:val="24"/>
        </w:rPr>
      </w:pPr>
      <w:r>
        <w:rPr>
          <w:rFonts w:hint="eastAsia" w:ascii="宋体" w:hAnsi="宋体" w:cs="Arial"/>
          <w:color w:val="auto"/>
          <w:kern w:val="0"/>
          <w:sz w:val="24"/>
          <w:szCs w:val="24"/>
        </w:rPr>
        <w:t>哈尔滨商业大学教务处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6240" w:firstLineChars="2600"/>
        <w:jc w:val="right"/>
        <w:rPr>
          <w:rFonts w:hint="eastAsia" w:ascii="宋体" w:hAnsi="宋体" w:cs="Arial"/>
          <w:color w:val="auto"/>
          <w:kern w:val="0"/>
          <w:sz w:val="24"/>
          <w:szCs w:val="24"/>
        </w:rPr>
      </w:pPr>
      <w:r>
        <w:rPr>
          <w:rFonts w:hint="eastAsia" w:ascii="宋体" w:hAnsi="宋体" w:cs="Arial"/>
          <w:color w:val="auto"/>
          <w:kern w:val="0"/>
          <w:sz w:val="24"/>
          <w:szCs w:val="24"/>
        </w:rPr>
        <w:t>201</w:t>
      </w:r>
      <w:r>
        <w:rPr>
          <w:rFonts w:hint="eastAsia" w:ascii="宋体" w:hAnsi="宋体" w:cs="Arial"/>
          <w:color w:val="auto"/>
          <w:kern w:val="0"/>
          <w:sz w:val="24"/>
          <w:szCs w:val="24"/>
          <w:lang w:val="en-US" w:eastAsia="zh-CN"/>
        </w:rPr>
        <w:t>9</w:t>
      </w:r>
      <w:r>
        <w:rPr>
          <w:rFonts w:hint="eastAsia" w:ascii="宋体" w:hAnsi="宋体" w:cs="Arial"/>
          <w:color w:val="auto"/>
          <w:kern w:val="0"/>
          <w:sz w:val="24"/>
          <w:szCs w:val="24"/>
        </w:rPr>
        <w:t>年</w:t>
      </w:r>
      <w:r>
        <w:rPr>
          <w:rFonts w:hint="eastAsia" w:ascii="宋体" w:hAnsi="宋体" w:cs="Arial"/>
          <w:color w:val="auto"/>
          <w:kern w:val="0"/>
          <w:sz w:val="24"/>
          <w:szCs w:val="24"/>
          <w:lang w:val="en-US" w:eastAsia="zh-CN"/>
        </w:rPr>
        <w:t>9</w:t>
      </w:r>
      <w:r>
        <w:rPr>
          <w:rFonts w:hint="eastAsia" w:ascii="宋体" w:hAnsi="宋体" w:cs="Arial"/>
          <w:color w:val="auto"/>
          <w:kern w:val="0"/>
          <w:sz w:val="24"/>
          <w:szCs w:val="24"/>
        </w:rPr>
        <w:t>月</w:t>
      </w:r>
      <w:r>
        <w:rPr>
          <w:rFonts w:hint="eastAsia" w:ascii="宋体" w:hAnsi="宋体" w:cs="Arial"/>
          <w:color w:val="auto"/>
          <w:kern w:val="0"/>
          <w:sz w:val="24"/>
          <w:szCs w:val="24"/>
          <w:lang w:val="en-US" w:eastAsia="zh-CN"/>
        </w:rPr>
        <w:t>9</w:t>
      </w:r>
      <w:bookmarkStart w:id="0" w:name="_GoBack"/>
      <w:bookmarkEnd w:id="0"/>
      <w:r>
        <w:rPr>
          <w:rFonts w:hint="eastAsia" w:ascii="宋体" w:hAnsi="宋体" w:cs="Arial"/>
          <w:color w:val="auto"/>
          <w:kern w:val="0"/>
          <w:sz w:val="24"/>
          <w:szCs w:val="24"/>
        </w:rPr>
        <w:t>日</w:t>
      </w:r>
    </w:p>
    <w:p>
      <w:pPr>
        <w:widowControl/>
        <w:numPr>
          <w:ilvl w:val="0"/>
          <w:numId w:val="0"/>
        </w:numPr>
        <w:shd w:val="clear" w:color="auto" w:fill="FFFFFF"/>
        <w:adjustRightInd w:val="0"/>
        <w:snapToGrid w:val="0"/>
        <w:spacing w:line="360" w:lineRule="auto"/>
        <w:ind w:left="482" w:leftChars="0"/>
        <w:jc w:val="left"/>
        <w:rPr>
          <w:rFonts w:hint="eastAsia" w:ascii="宋体" w:hAnsi="宋体" w:cs="Arial"/>
          <w:color w:val="auto"/>
          <w:kern w:val="0"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color w:val="auto"/>
          <w:kern w:val="0"/>
          <w:sz w:val="52"/>
          <w:szCs w:val="52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837D6C3"/>
    <w:multiLevelType w:val="singleLevel"/>
    <w:tmpl w:val="D837D6C3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E57D4661"/>
    <w:multiLevelType w:val="singleLevel"/>
    <w:tmpl w:val="E57D4661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12880CFD"/>
    <w:multiLevelType w:val="multilevel"/>
    <w:tmpl w:val="12880CFD"/>
    <w:lvl w:ilvl="0" w:tentative="0">
      <w:start w:val="1"/>
      <w:numFmt w:val="decimal"/>
      <w:lvlText w:val="%1."/>
      <w:lvlJc w:val="left"/>
      <w:pPr>
        <w:ind w:left="902" w:hanging="420"/>
      </w:pPr>
    </w:lvl>
    <w:lvl w:ilvl="1" w:tentative="0">
      <w:start w:val="1"/>
      <w:numFmt w:val="lowerLetter"/>
      <w:lvlText w:val="%2)"/>
      <w:lvlJc w:val="left"/>
      <w:pPr>
        <w:ind w:left="1322" w:hanging="420"/>
      </w:pPr>
    </w:lvl>
    <w:lvl w:ilvl="2" w:tentative="0">
      <w:start w:val="1"/>
      <w:numFmt w:val="lowerRoman"/>
      <w:lvlText w:val="%3."/>
      <w:lvlJc w:val="right"/>
      <w:pPr>
        <w:ind w:left="1742" w:hanging="420"/>
      </w:pPr>
    </w:lvl>
    <w:lvl w:ilvl="3" w:tentative="0">
      <w:start w:val="1"/>
      <w:numFmt w:val="decimal"/>
      <w:lvlText w:val="%4."/>
      <w:lvlJc w:val="left"/>
      <w:pPr>
        <w:ind w:left="2162" w:hanging="420"/>
      </w:pPr>
    </w:lvl>
    <w:lvl w:ilvl="4" w:tentative="0">
      <w:start w:val="1"/>
      <w:numFmt w:val="lowerLetter"/>
      <w:lvlText w:val="%5)"/>
      <w:lvlJc w:val="left"/>
      <w:pPr>
        <w:ind w:left="2582" w:hanging="420"/>
      </w:pPr>
    </w:lvl>
    <w:lvl w:ilvl="5" w:tentative="0">
      <w:start w:val="1"/>
      <w:numFmt w:val="lowerRoman"/>
      <w:lvlText w:val="%6."/>
      <w:lvlJc w:val="right"/>
      <w:pPr>
        <w:ind w:left="3002" w:hanging="420"/>
      </w:pPr>
    </w:lvl>
    <w:lvl w:ilvl="6" w:tentative="0">
      <w:start w:val="1"/>
      <w:numFmt w:val="decimal"/>
      <w:lvlText w:val="%7."/>
      <w:lvlJc w:val="left"/>
      <w:pPr>
        <w:ind w:left="3422" w:hanging="420"/>
      </w:pPr>
    </w:lvl>
    <w:lvl w:ilvl="7" w:tentative="0">
      <w:start w:val="1"/>
      <w:numFmt w:val="lowerLetter"/>
      <w:lvlText w:val="%8)"/>
      <w:lvlJc w:val="left"/>
      <w:pPr>
        <w:ind w:left="3842" w:hanging="420"/>
      </w:pPr>
    </w:lvl>
    <w:lvl w:ilvl="8" w:tentative="0">
      <w:start w:val="1"/>
      <w:numFmt w:val="lowerRoman"/>
      <w:lvlText w:val="%9."/>
      <w:lvlJc w:val="right"/>
      <w:pPr>
        <w:ind w:left="4262" w:hanging="420"/>
      </w:pPr>
    </w:lvl>
  </w:abstractNum>
  <w:abstractNum w:abstractNumId="3">
    <w:nsid w:val="23A47FF2"/>
    <w:multiLevelType w:val="multilevel"/>
    <w:tmpl w:val="23A47FF2"/>
    <w:lvl w:ilvl="0" w:tentative="0">
      <w:start w:val="1"/>
      <w:numFmt w:val="decimal"/>
      <w:lvlText w:val="%1."/>
      <w:lvlJc w:val="left"/>
      <w:pPr>
        <w:ind w:left="902" w:hanging="420"/>
      </w:pPr>
    </w:lvl>
    <w:lvl w:ilvl="1" w:tentative="0">
      <w:start w:val="1"/>
      <w:numFmt w:val="lowerLetter"/>
      <w:lvlText w:val="%2)"/>
      <w:lvlJc w:val="left"/>
      <w:pPr>
        <w:ind w:left="1322" w:hanging="420"/>
      </w:pPr>
    </w:lvl>
    <w:lvl w:ilvl="2" w:tentative="0">
      <w:start w:val="1"/>
      <w:numFmt w:val="lowerRoman"/>
      <w:lvlText w:val="%3."/>
      <w:lvlJc w:val="right"/>
      <w:pPr>
        <w:ind w:left="1742" w:hanging="420"/>
      </w:pPr>
    </w:lvl>
    <w:lvl w:ilvl="3" w:tentative="0">
      <w:start w:val="1"/>
      <w:numFmt w:val="decimal"/>
      <w:lvlText w:val="%4."/>
      <w:lvlJc w:val="left"/>
      <w:pPr>
        <w:ind w:left="2162" w:hanging="420"/>
      </w:pPr>
    </w:lvl>
    <w:lvl w:ilvl="4" w:tentative="0">
      <w:start w:val="1"/>
      <w:numFmt w:val="lowerLetter"/>
      <w:lvlText w:val="%5)"/>
      <w:lvlJc w:val="left"/>
      <w:pPr>
        <w:ind w:left="2582" w:hanging="420"/>
      </w:pPr>
    </w:lvl>
    <w:lvl w:ilvl="5" w:tentative="0">
      <w:start w:val="1"/>
      <w:numFmt w:val="lowerRoman"/>
      <w:lvlText w:val="%6."/>
      <w:lvlJc w:val="right"/>
      <w:pPr>
        <w:ind w:left="3002" w:hanging="420"/>
      </w:pPr>
    </w:lvl>
    <w:lvl w:ilvl="6" w:tentative="0">
      <w:start w:val="1"/>
      <w:numFmt w:val="decimal"/>
      <w:lvlText w:val="%7."/>
      <w:lvlJc w:val="left"/>
      <w:pPr>
        <w:ind w:left="3422" w:hanging="420"/>
      </w:pPr>
    </w:lvl>
    <w:lvl w:ilvl="7" w:tentative="0">
      <w:start w:val="1"/>
      <w:numFmt w:val="lowerLetter"/>
      <w:lvlText w:val="%8)"/>
      <w:lvlJc w:val="left"/>
      <w:pPr>
        <w:ind w:left="3842" w:hanging="420"/>
      </w:pPr>
    </w:lvl>
    <w:lvl w:ilvl="8" w:tentative="0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943CB5"/>
    <w:rsid w:val="01CE75C4"/>
    <w:rsid w:val="02140A18"/>
    <w:rsid w:val="08943CB5"/>
    <w:rsid w:val="0B555E6A"/>
    <w:rsid w:val="0EA73553"/>
    <w:rsid w:val="11FF209D"/>
    <w:rsid w:val="199273F8"/>
    <w:rsid w:val="1A6C5995"/>
    <w:rsid w:val="1CF02F24"/>
    <w:rsid w:val="1D4417AA"/>
    <w:rsid w:val="1F264C70"/>
    <w:rsid w:val="2427714A"/>
    <w:rsid w:val="26264331"/>
    <w:rsid w:val="28451140"/>
    <w:rsid w:val="298205AC"/>
    <w:rsid w:val="2B033FC8"/>
    <w:rsid w:val="2BA45E0C"/>
    <w:rsid w:val="2E8A0D1D"/>
    <w:rsid w:val="2ED06983"/>
    <w:rsid w:val="3D460482"/>
    <w:rsid w:val="41A95200"/>
    <w:rsid w:val="432A7E77"/>
    <w:rsid w:val="4501245A"/>
    <w:rsid w:val="47CA172D"/>
    <w:rsid w:val="4E4E3927"/>
    <w:rsid w:val="50EB5422"/>
    <w:rsid w:val="54935C33"/>
    <w:rsid w:val="54FC5C89"/>
    <w:rsid w:val="55DD7EBD"/>
    <w:rsid w:val="56D31196"/>
    <w:rsid w:val="57BF1390"/>
    <w:rsid w:val="57CB41AB"/>
    <w:rsid w:val="5BE913B1"/>
    <w:rsid w:val="68E2208F"/>
    <w:rsid w:val="6B2D2CBF"/>
    <w:rsid w:val="702246B1"/>
    <w:rsid w:val="7C215481"/>
    <w:rsid w:val="7C85264A"/>
    <w:rsid w:val="7F4C1319"/>
    <w:rsid w:val="7F664C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2019-08-11T03:37:00Z</dcterms:created>
  <dc:creator>lijie</dc:creator>
  <cp:lastModifiedBy>lijie</cp:lastModifiedBy>
  <dcterms:modified xsi:type="dcterms:W3CDTF">2019-09-09T03:24:46Z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